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6970" w:h="270" w:hRule="exact" w:wrap="none" w:vAnchor="page" w:hAnchor="page" w:x="2470" w:y="1296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20" w:firstLine="0"/>
      </w:pPr>
      <w:bookmarkStart w:id="0" w:name="bookmark0"/>
      <w:r>
        <w:rPr>
          <w:rStyle w:val="CharStyle5"/>
          <w:b/>
          <w:bCs/>
        </w:rPr>
        <w:t>Приложение № 10 к СанПиН 2.4.1.3049-13</w:t>
      </w:r>
      <w:bookmarkEnd w:id="0"/>
    </w:p>
    <w:p>
      <w:pPr>
        <w:pStyle w:val="Style6"/>
        <w:framePr w:w="6605" w:h="575" w:hRule="exact" w:wrap="none" w:vAnchor="page" w:hAnchor="page" w:x="2652" w:y="15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8"/>
          <w:b/>
          <w:bCs/>
        </w:rPr>
        <w:t>Рекомендуемые суточные наборы продуктов для организации питания детей в дошкольных образовательных организациях (г, мл, на 1 ребенка/сутки)</w:t>
      </w:r>
    </w:p>
    <w:tbl>
      <w:tblPr>
        <w:tblOverlap w:val="never"/>
        <w:tblLayout w:type="fixed"/>
        <w:jc w:val="left"/>
      </w:tblPr>
      <w:tblGrid>
        <w:gridCol w:w="3864"/>
        <w:gridCol w:w="787"/>
        <w:gridCol w:w="768"/>
        <w:gridCol w:w="811"/>
        <w:gridCol w:w="730"/>
      </w:tblGrid>
      <w:tr>
        <w:trPr>
          <w:trHeight w:val="35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660" w:right="0" w:firstLine="0"/>
            </w:pPr>
            <w:r>
              <w:rPr>
                <w:rStyle w:val="CharStyle11"/>
              </w:rPr>
              <w:t>Наименование пищевого продукта или группы пищевых продуктов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Количество продуктов в зависимости от возраста детей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6960" w:h="8683" w:wrap="none" w:vAnchor="page" w:hAnchor="page" w:x="2475" w:y="2112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 xml:space="preserve">в </w:t>
            </w:r>
            <w:r>
              <w:rPr>
                <w:rStyle w:val="CharStyle12"/>
              </w:rPr>
              <w:t xml:space="preserve">г, мл, </w:t>
            </w:r>
            <w:r>
              <w:rPr>
                <w:rStyle w:val="CharStyle11"/>
              </w:rPr>
              <w:t>брутто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 xml:space="preserve">в </w:t>
            </w:r>
            <w:r>
              <w:rPr>
                <w:rStyle w:val="CharStyle11"/>
              </w:rPr>
              <w:t>г. мл, нетто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6960" w:h="8683" w:wrap="none" w:vAnchor="page" w:hAnchor="page" w:x="2475" w:y="211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1—3</w:t>
            </w:r>
          </w:p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3</w:t>
            </w:r>
            <w:r>
              <w:rPr>
                <w:rStyle w:val="CharStyle13"/>
              </w:rPr>
              <w:t>—7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 —3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3—7лет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0" w:right="0" w:firstLine="0"/>
            </w:pPr>
            <w:r>
              <w:rPr>
                <w:rStyle w:val="CharStyle11"/>
              </w:rPr>
              <w:t>Молоко и кисломолочные продукты с м д.ж. не ниже 2.5%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450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Творог, творожные изделия с м.д.ж. не менее 5%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Сметана с м.д.ж. не более 15%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Сыр твердый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■4,3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Мясо (бескостное/ на кости)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55/68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60,5/75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55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40" w:right="0" w:firstLine="0"/>
            </w:pPr>
            <w:r>
              <w:rPr>
                <w:rStyle w:val="CharStyle11"/>
              </w:rPr>
              <w:t>Птица (куры 1 кат потр./цыплята-бройлеры 1 кат потр./индейка 1 кат потр.)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23/23/22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27/27/26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24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Рыба (филе), вт.ч филе слабо или малосоленое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Колбасные изделия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5"/>
                <w:lang w:val="ru-RU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6"/>
                <w:lang w:val="ru-RU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6,9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Яйцо куриное столовое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0,5 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1"/>
              </w:rPr>
              <w:t>0,6 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24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Картофель: с 01.09 по 31</w:t>
            </w:r>
            <w:r>
              <w:rPr>
                <w:rStyle w:val="CharStyle12"/>
              </w:rPr>
              <w:t>.</w:t>
            </w:r>
            <w:r>
              <w:rPr>
                <w:rStyle w:val="CharStyle13"/>
              </w:rPr>
              <w:t>1</w:t>
            </w:r>
            <w:r>
              <w:rPr>
                <w:rStyle w:val="CharStyle11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140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20" w:firstLine="0"/>
            </w:pPr>
            <w:r>
              <w:rPr>
                <w:rStyle w:val="CharStyle13"/>
              </w:rPr>
              <w:t>с 31,10ло 31 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140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20" w:firstLine="0"/>
            </w:pPr>
            <w:r>
              <w:rPr>
                <w:rStyle w:val="CharStyle13"/>
              </w:rPr>
              <w:t>с 31.12 по 28,02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140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20" w:firstLine="0"/>
            </w:pPr>
            <w:r>
              <w:rPr>
                <w:rStyle w:val="CharStyle13"/>
              </w:rPr>
              <w:t>с 29,02 по 01 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140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Овощи, зелень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260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Фрукты (плоды) свежие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Фрукты (плоды) сухие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20" w:firstLine="0"/>
            </w:pPr>
            <w:r>
              <w:rPr>
                <w:rStyle w:val="CharStyle11"/>
              </w:rPr>
              <w:t>Соки фруктовые (овощные)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Напитки витаминизированные (готовый напиток)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7"/>
                <w:lang w:val="ru-RU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7"/>
                <w:lang w:val="ru-RU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Хлеб ржаной (ржано-пшеничный)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Хлеб пшеничный или хлеб зерновой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Крупы (злаки), бобовые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43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Макаронные изделия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Мука пшеничная хлебопекарная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Масло коровье сладкосливочное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21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Масло растительное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  <w:lang w:val="ru-RU"/>
              </w:rPr>
              <w:t>&amp;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Кондитерские изделия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Чай, включая фиточай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0,6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Какао-порошок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0.5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0,6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Кофейный напиток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1,2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3"/>
              </w:rPr>
              <w:t>Сахар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Дрожжи хлебопекарные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0,5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20" w:firstLine="0"/>
            </w:pPr>
            <w:r>
              <w:rPr>
                <w:rStyle w:val="CharStyle11"/>
              </w:rPr>
              <w:t>Мука картофельная (крахмал)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20" w:firstLine="0"/>
            </w:pPr>
            <w:r>
              <w:rPr>
                <w:rStyle w:val="CharStyle11"/>
              </w:rPr>
              <w:t>Соль пищевая поваренная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960" w:h="8683" w:wrap="none" w:vAnchor="page" w:hAnchor="page" w:x="2475" w:y="2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960" w:h="8683" w:wrap="none" w:vAnchor="page" w:hAnchor="page" w:x="2475" w:y="2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960" w:h="8683" w:wrap="none" w:vAnchor="page" w:hAnchor="page" w:x="2475" w:y="2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960" w:h="8683" w:wrap="none" w:vAnchor="page" w:hAnchor="page" w:x="2475" w:y="2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6960" w:h="8683" w:wrap="none" w:vAnchor="page" w:hAnchor="page" w:x="2475" w:y="2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Химсостав (без учета т/о)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960" w:h="8683" w:wrap="none" w:vAnchor="page" w:hAnchor="page" w:x="2475" w:y="2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960" w:h="8683" w:wrap="none" w:vAnchor="page" w:hAnchor="page" w:x="2475" w:y="2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960" w:h="8683" w:wrap="none" w:vAnchor="page" w:hAnchor="page" w:x="2475" w:y="2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6960" w:h="8683" w:wrap="none" w:vAnchor="page" w:hAnchor="page" w:x="2475" w:y="2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3"/>
              </w:rPr>
              <w:t>Белок,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960" w:h="8683" w:wrap="none" w:vAnchor="page" w:hAnchor="page" w:x="2475" w:y="2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960" w:h="8683" w:wrap="none" w:vAnchor="page" w:hAnchor="page" w:x="2475" w:y="2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73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3"/>
              </w:rPr>
              <w:t>Жир,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960" w:h="8683" w:wrap="none" w:vAnchor="page" w:hAnchor="page" w:x="2475" w:y="2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960" w:h="8683" w:wrap="none" w:vAnchor="page" w:hAnchor="page" w:x="2475" w:y="2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69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Углеводы,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960" w:h="8683" w:wrap="none" w:vAnchor="page" w:hAnchor="page" w:x="2475" w:y="2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960" w:h="8683" w:wrap="none" w:vAnchor="page" w:hAnchor="page" w:x="2475" w:y="2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275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40" w:right="0" w:firstLine="0"/>
            </w:pPr>
            <w:r>
              <w:rPr>
                <w:rStyle w:val="CharStyle11"/>
              </w:rPr>
              <w:t>Энергетическая ценность, ккал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6960" w:h="8683" w:wrap="none" w:vAnchor="page" w:hAnchor="page" w:x="2475" w:y="2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6960" w:h="8683" w:wrap="none" w:vAnchor="page" w:hAnchor="page" w:x="2475" w:y="2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1560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9"/>
              <w:framePr w:w="6960" w:h="8683" w:wrap="none" w:vAnchor="page" w:hAnchor="page" w:x="2475" w:y="2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3"/>
              </w:rPr>
              <w:t>1963</w:t>
            </w:r>
          </w:p>
        </w:tc>
      </w:tr>
    </w:tbl>
    <w:p>
      <w:pPr>
        <w:pStyle w:val="Style19"/>
        <w:framePr w:w="6970" w:h="5127" w:hRule="exact" w:wrap="none" w:vAnchor="page" w:hAnchor="page" w:x="2470" w:y="10865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rStyle w:val="CharStyle21"/>
          <w:b/>
          <w:bCs/>
        </w:rPr>
        <w:t>Примечание:</w:t>
      </w:r>
    </w:p>
    <w:p>
      <w:pPr>
        <w:pStyle w:val="Style9"/>
        <w:numPr>
          <w:ilvl w:val="0"/>
          <w:numId w:val="1"/>
        </w:numPr>
        <w:framePr w:w="6970" w:h="5127" w:hRule="exact" w:wrap="none" w:vAnchor="page" w:hAnchor="page" w:x="2470" w:y="10865"/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00"/>
      </w:pPr>
      <w:r>
        <w:rPr>
          <w:rStyle w:val="CharStyle23"/>
        </w:rPr>
        <w:t xml:space="preserve">— </w:t>
      </w:r>
      <w:r>
        <w:rPr>
          <w:rStyle w:val="CharStyle24"/>
        </w:rPr>
        <w:t xml:space="preserve">при </w:t>
      </w:r>
      <w:r>
        <w:rPr>
          <w:rStyle w:val="CharStyle22"/>
        </w:rPr>
        <w:t>составлении меню допустимы отклонения от рекомендуемых норм питания</w:t>
      </w:r>
    </w:p>
    <w:p>
      <w:pPr>
        <w:pStyle w:val="Style9"/>
        <w:framePr w:w="6970" w:h="5127" w:hRule="exact" w:wrap="none" w:vAnchor="page" w:hAnchor="page" w:x="2470" w:y="108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4"/>
        </w:rPr>
        <w:t>±5%;</w:t>
      </w:r>
    </w:p>
    <w:p>
      <w:pPr>
        <w:pStyle w:val="Style9"/>
        <w:numPr>
          <w:ilvl w:val="0"/>
          <w:numId w:val="1"/>
        </w:numPr>
        <w:framePr w:w="6970" w:h="5127" w:hRule="exact" w:wrap="none" w:vAnchor="page" w:hAnchor="page" w:x="2470" w:y="10865"/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300"/>
      </w:pPr>
      <w:r>
        <w:rPr>
          <w:rStyle w:val="CharStyle24"/>
        </w:rPr>
        <w:t xml:space="preserve">— при </w:t>
      </w:r>
      <w:r>
        <w:rPr>
          <w:rStyle w:val="CharStyle22"/>
        </w:rPr>
        <w:t xml:space="preserve">использовании другого сырья необходимо делать </w:t>
      </w:r>
      <w:r>
        <w:rPr>
          <w:rStyle w:val="CharStyle24"/>
        </w:rPr>
        <w:t xml:space="preserve">перерасчет. </w:t>
      </w:r>
      <w:r>
        <w:rPr>
          <w:rStyle w:val="CharStyle22"/>
        </w:rPr>
        <w:t xml:space="preserve">Масса брутто может меняться в зависимости </w:t>
      </w:r>
      <w:r>
        <w:rPr>
          <w:rStyle w:val="CharStyle23"/>
        </w:rPr>
        <w:t xml:space="preserve">от </w:t>
      </w:r>
      <w:r>
        <w:rPr>
          <w:rStyle w:val="CharStyle22"/>
        </w:rPr>
        <w:t xml:space="preserve">исходного сырья </w:t>
      </w:r>
      <w:r>
        <w:rPr>
          <w:rStyle w:val="CharStyle24"/>
        </w:rPr>
        <w:t xml:space="preserve">и </w:t>
      </w:r>
      <w:r>
        <w:rPr>
          <w:rStyle w:val="CharStyle22"/>
        </w:rPr>
        <w:t xml:space="preserve">сезона года. При формировании меню необходимо обеспечивать выполнение натуральных норм питания </w:t>
      </w:r>
      <w:r>
        <w:rPr>
          <w:rStyle w:val="CharStyle24"/>
        </w:rPr>
        <w:t xml:space="preserve">в </w:t>
      </w:r>
      <w:r>
        <w:rPr>
          <w:rStyle w:val="CharStyle22"/>
        </w:rPr>
        <w:t>соответствии сданными, приведенными в столбце нетто.</w:t>
      </w:r>
    </w:p>
    <w:p>
      <w:pPr>
        <w:pStyle w:val="Style9"/>
        <w:numPr>
          <w:ilvl w:val="0"/>
          <w:numId w:val="1"/>
        </w:numPr>
        <w:framePr w:w="6970" w:h="5127" w:hRule="exact" w:wrap="none" w:vAnchor="page" w:hAnchor="page" w:x="2470" w:y="10865"/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300"/>
      </w:pPr>
      <w:r>
        <w:rPr>
          <w:rStyle w:val="CharStyle22"/>
        </w:rPr>
        <w:t xml:space="preserve">— доля кисломолочных </w:t>
      </w:r>
      <w:r>
        <w:rPr>
          <w:rStyle w:val="CharStyle24"/>
        </w:rPr>
        <w:t xml:space="preserve">напитков </w:t>
      </w:r>
      <w:r>
        <w:rPr>
          <w:rStyle w:val="CharStyle22"/>
        </w:rPr>
        <w:t xml:space="preserve">может составлять </w:t>
      </w:r>
      <w:r>
        <w:rPr>
          <w:rStyle w:val="CharStyle23"/>
        </w:rPr>
        <w:t>1</w:t>
      </w:r>
      <w:r>
        <w:rPr>
          <w:rStyle w:val="CharStyle22"/>
        </w:rPr>
        <w:t>35</w:t>
      </w:r>
      <w:r>
        <w:rPr>
          <w:rStyle w:val="CharStyle23"/>
        </w:rPr>
        <w:t>—</w:t>
      </w:r>
      <w:r>
        <w:rPr>
          <w:rStyle w:val="CharStyle24"/>
        </w:rPr>
        <w:t>1</w:t>
      </w:r>
      <w:r>
        <w:rPr>
          <w:rStyle w:val="CharStyle22"/>
        </w:rPr>
        <w:t xml:space="preserve">50 мл для детей </w:t>
      </w:r>
      <w:r>
        <w:rPr>
          <w:rStyle w:val="CharStyle24"/>
        </w:rPr>
        <w:t xml:space="preserve">в </w:t>
      </w:r>
      <w:r>
        <w:rPr>
          <w:rStyle w:val="CharStyle22"/>
        </w:rPr>
        <w:t>воз</w:t>
        <w:softHyphen/>
        <w:t xml:space="preserve">расте 1 </w:t>
      </w:r>
      <w:r>
        <w:rPr>
          <w:rStyle w:val="CharStyle23"/>
        </w:rPr>
        <w:t>—</w:t>
      </w:r>
      <w:r>
        <w:rPr>
          <w:rStyle w:val="CharStyle24"/>
        </w:rPr>
        <w:t xml:space="preserve">3 </w:t>
      </w:r>
      <w:r>
        <w:rPr>
          <w:rStyle w:val="CharStyle22"/>
        </w:rPr>
        <w:t>года и 150</w:t>
      </w:r>
      <w:r>
        <w:rPr>
          <w:rStyle w:val="CharStyle23"/>
        </w:rPr>
        <w:t>—</w:t>
      </w:r>
      <w:r>
        <w:rPr>
          <w:rStyle w:val="CharStyle24"/>
        </w:rPr>
        <w:t>1</w:t>
      </w:r>
      <w:r>
        <w:rPr>
          <w:rStyle w:val="CharStyle22"/>
        </w:rPr>
        <w:t xml:space="preserve">80 мл </w:t>
      </w:r>
      <w:r>
        <w:rPr>
          <w:rStyle w:val="CharStyle23"/>
        </w:rPr>
        <w:t xml:space="preserve">— </w:t>
      </w:r>
      <w:r>
        <w:rPr>
          <w:rStyle w:val="CharStyle22"/>
        </w:rPr>
        <w:t xml:space="preserve">для детей </w:t>
      </w:r>
      <w:r>
        <w:rPr>
          <w:rStyle w:val="CharStyle24"/>
        </w:rPr>
        <w:t>3</w:t>
      </w:r>
      <w:r>
        <w:rPr>
          <w:rStyle w:val="CharStyle23"/>
        </w:rPr>
        <w:t>—</w:t>
      </w:r>
      <w:r>
        <w:rPr>
          <w:rStyle w:val="CharStyle22"/>
        </w:rPr>
        <w:t>7 лет;</w:t>
      </w:r>
    </w:p>
    <w:p>
      <w:pPr>
        <w:pStyle w:val="Style9"/>
        <w:numPr>
          <w:ilvl w:val="0"/>
          <w:numId w:val="1"/>
        </w:numPr>
        <w:framePr w:w="6970" w:h="5127" w:hRule="exact" w:wrap="none" w:vAnchor="page" w:hAnchor="page" w:x="2470" w:y="10865"/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300"/>
      </w:pPr>
      <w:r>
        <w:rPr>
          <w:rStyle w:val="CharStyle22"/>
        </w:rPr>
        <w:t xml:space="preserve">— </w:t>
      </w:r>
      <w:r>
        <w:rPr>
          <w:rStyle w:val="CharStyle23"/>
        </w:rPr>
        <w:t xml:space="preserve">% </w:t>
      </w:r>
      <w:r>
        <w:rPr>
          <w:rStyle w:val="CharStyle22"/>
        </w:rPr>
        <w:t xml:space="preserve">отхода учитывать </w:t>
      </w:r>
      <w:r>
        <w:rPr>
          <w:rStyle w:val="CharStyle24"/>
        </w:rPr>
        <w:t xml:space="preserve">только </w:t>
      </w:r>
      <w:r>
        <w:rPr>
          <w:rStyle w:val="CharStyle22"/>
        </w:rPr>
        <w:t xml:space="preserve">при использовании творога для приготовления </w:t>
      </w:r>
      <w:r>
        <w:rPr>
          <w:rStyle w:val="CharStyle24"/>
        </w:rPr>
        <w:t>блюд;</w:t>
      </w:r>
    </w:p>
    <w:p>
      <w:pPr>
        <w:pStyle w:val="Style9"/>
        <w:numPr>
          <w:ilvl w:val="0"/>
          <w:numId w:val="1"/>
        </w:numPr>
        <w:framePr w:w="6970" w:h="5127" w:hRule="exact" w:wrap="none" w:vAnchor="page" w:hAnchor="page" w:x="2470" w:y="10865"/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300"/>
      </w:pPr>
      <w:r>
        <w:rPr>
          <w:rStyle w:val="CharStyle24"/>
        </w:rPr>
        <w:t xml:space="preserve">— </w:t>
      </w:r>
      <w:r>
        <w:rPr>
          <w:rStyle w:val="CharStyle22"/>
        </w:rPr>
        <w:t xml:space="preserve">в случае замены говядины на другие виды мясного </w:t>
      </w:r>
      <w:r>
        <w:rPr>
          <w:rStyle w:val="CharStyle24"/>
        </w:rPr>
        <w:t xml:space="preserve">сырья </w:t>
      </w:r>
      <w:r>
        <w:rPr>
          <w:rStyle w:val="CharStyle22"/>
        </w:rPr>
        <w:t xml:space="preserve">(разрешенного для использования в питании детей </w:t>
      </w:r>
      <w:r>
        <w:rPr>
          <w:rStyle w:val="CharStyle23"/>
        </w:rPr>
        <w:t xml:space="preserve">в </w:t>
      </w:r>
      <w:r>
        <w:rPr>
          <w:rStyle w:val="CharStyle22"/>
        </w:rPr>
        <w:t>ДОУ /приложение 8/. поступления новых видов пище</w:t>
        <w:softHyphen/>
      </w:r>
      <w:r>
        <w:rPr>
          <w:rStyle w:val="CharStyle24"/>
        </w:rPr>
        <w:t xml:space="preserve">вых </w:t>
      </w:r>
      <w:r>
        <w:rPr>
          <w:rStyle w:val="CharStyle22"/>
        </w:rPr>
        <w:t xml:space="preserve">продуктов, в том числе </w:t>
      </w:r>
      <w:r>
        <w:rPr>
          <w:rStyle w:val="CharStyle24"/>
        </w:rPr>
        <w:t xml:space="preserve">и </w:t>
      </w:r>
      <w:r>
        <w:rPr>
          <w:rStyle w:val="CharStyle22"/>
        </w:rPr>
        <w:t xml:space="preserve">импортных товаров, или </w:t>
      </w:r>
      <w:r>
        <w:rPr>
          <w:rStyle w:val="CharStyle24"/>
        </w:rPr>
        <w:t xml:space="preserve">в </w:t>
      </w:r>
      <w:r>
        <w:rPr>
          <w:rStyle w:val="CharStyle22"/>
        </w:rPr>
        <w:t>случае поступления нестандарт</w:t>
        <w:softHyphen/>
        <w:t xml:space="preserve">ного сырья, нормы отходов и потерь при технологической обработке этого сырья могут определяться дошкольной организацией самостоятельно </w:t>
      </w:r>
      <w:r>
        <w:rPr>
          <w:rStyle w:val="CharStyle24"/>
        </w:rPr>
        <w:t xml:space="preserve">путем </w:t>
      </w:r>
      <w:r>
        <w:rPr>
          <w:rStyle w:val="CharStyle22"/>
        </w:rPr>
        <w:t>контрольных прорабо</w:t>
        <w:softHyphen/>
      </w:r>
      <w:r>
        <w:rPr>
          <w:rStyle w:val="CharStyle24"/>
        </w:rPr>
        <w:t>ток;</w:t>
      </w:r>
    </w:p>
    <w:p>
      <w:pPr>
        <w:pStyle w:val="Style9"/>
        <w:numPr>
          <w:ilvl w:val="0"/>
          <w:numId w:val="1"/>
        </w:numPr>
        <w:framePr w:w="6970" w:h="5127" w:hRule="exact" w:wrap="none" w:vAnchor="page" w:hAnchor="page" w:x="2470" w:y="10865"/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300"/>
      </w:pPr>
      <w:r>
        <w:rPr>
          <w:rStyle w:val="CharStyle24"/>
        </w:rPr>
        <w:t xml:space="preserve">— </w:t>
      </w:r>
      <w:r>
        <w:rPr>
          <w:rStyle w:val="CharStyle22"/>
        </w:rPr>
        <w:t xml:space="preserve">количество витаминизированного напитка должно обеспечить не более 15% от суточной потребности детей в витаминах и может меняться </w:t>
      </w:r>
      <w:r>
        <w:rPr>
          <w:rStyle w:val="CharStyle23"/>
        </w:rPr>
        <w:t xml:space="preserve">в </w:t>
      </w:r>
      <w:r>
        <w:rPr>
          <w:rStyle w:val="CharStyle22"/>
        </w:rPr>
        <w:t xml:space="preserve">зависимости от состава </w:t>
      </w:r>
      <w:r>
        <w:rPr>
          <w:rStyle w:val="CharStyle24"/>
        </w:rPr>
        <w:t>напитка:</w:t>
      </w:r>
    </w:p>
    <w:p>
      <w:pPr>
        <w:pStyle w:val="Style9"/>
        <w:numPr>
          <w:ilvl w:val="0"/>
          <w:numId w:val="1"/>
        </w:numPr>
        <w:framePr w:w="6970" w:h="5127" w:hRule="exact" w:wrap="none" w:vAnchor="page" w:hAnchor="page" w:x="2470" w:y="10865"/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300"/>
      </w:pPr>
      <w:r>
        <w:rPr>
          <w:rStyle w:val="CharStyle23"/>
        </w:rPr>
        <w:t xml:space="preserve">— </w:t>
      </w:r>
      <w:r>
        <w:rPr>
          <w:rStyle w:val="CharStyle22"/>
        </w:rPr>
        <w:t xml:space="preserve">в том числе для приготовления блюд </w:t>
      </w:r>
      <w:r>
        <w:rPr>
          <w:rStyle w:val="CharStyle24"/>
        </w:rPr>
        <w:t xml:space="preserve">и </w:t>
      </w:r>
      <w:r>
        <w:rPr>
          <w:rStyle w:val="CharStyle22"/>
        </w:rPr>
        <w:t>напитков; в случае использования про</w:t>
        <w:softHyphen/>
        <w:t xml:space="preserve">дуктов промышленного выпуска, содержащих сахар (сгущенное молоко, кисели </w:t>
      </w:r>
      <w:r>
        <w:rPr>
          <w:rStyle w:val="CharStyle24"/>
        </w:rPr>
        <w:t xml:space="preserve">и </w:t>
      </w:r>
      <w:r>
        <w:rPr>
          <w:rStyle w:val="CharStyle22"/>
        </w:rPr>
        <w:t>др.) выдача сахара должна быть уменьшена в соответствии с его количеством, поступаю</w:t>
        <w:softHyphen/>
        <w:t>щим в составе используемого готового продукта;</w:t>
      </w:r>
    </w:p>
    <w:p>
      <w:pPr>
        <w:pStyle w:val="Style9"/>
        <w:numPr>
          <w:ilvl w:val="0"/>
          <w:numId w:val="1"/>
        </w:numPr>
        <w:framePr w:w="6970" w:h="5127" w:hRule="exact" w:wrap="none" w:vAnchor="page" w:hAnchor="page" w:x="2470" w:y="10865"/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300"/>
      </w:pPr>
      <w:r>
        <w:rPr>
          <w:rStyle w:val="CharStyle23"/>
        </w:rPr>
        <w:t xml:space="preserve">— </w:t>
      </w:r>
      <w:r>
        <w:rPr>
          <w:rStyle w:val="CharStyle22"/>
        </w:rPr>
        <w:t xml:space="preserve">допустимы отклонения </w:t>
      </w:r>
      <w:r>
        <w:rPr>
          <w:rStyle w:val="CharStyle24"/>
        </w:rPr>
        <w:t xml:space="preserve">от </w:t>
      </w:r>
      <w:r>
        <w:rPr>
          <w:rStyle w:val="CharStyle22"/>
        </w:rPr>
        <w:t>химического состава рекомендуемых наборов про</w:t>
        <w:softHyphen/>
      </w:r>
      <w:r>
        <w:rPr>
          <w:rStyle w:val="CharStyle24"/>
        </w:rPr>
        <w:t>дуктов ±10%;</w:t>
      </w:r>
    </w:p>
    <w:p>
      <w:pPr>
        <w:pStyle w:val="Style9"/>
        <w:framePr w:w="6970" w:h="5127" w:hRule="exact" w:wrap="none" w:vAnchor="page" w:hAnchor="page" w:x="2470" w:y="1086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300"/>
      </w:pPr>
      <w:r>
        <w:rPr>
          <w:rStyle w:val="CharStyle22"/>
        </w:rPr>
        <w:t xml:space="preserve">При использовании в питании детей готовых продуктов </w:t>
      </w:r>
      <w:r>
        <w:rPr>
          <w:rStyle w:val="CharStyle24"/>
        </w:rPr>
        <w:t xml:space="preserve">и </w:t>
      </w:r>
      <w:r>
        <w:rPr>
          <w:rStyle w:val="CharStyle22"/>
        </w:rPr>
        <w:t>полуфабрикатов промыш</w:t>
        <w:softHyphen/>
        <w:t>ленного производства со сложным составом, входящие в их состав ингредиенты следу</w:t>
        <w:softHyphen/>
        <w:t xml:space="preserve">ет учитывать одновременно в различных группах продуктового набора </w:t>
      </w:r>
      <w:r>
        <w:rPr>
          <w:rStyle w:val="CharStyle24"/>
        </w:rPr>
        <w:t xml:space="preserve">в </w:t>
      </w:r>
      <w:r>
        <w:rPr>
          <w:rStyle w:val="CharStyle22"/>
        </w:rPr>
        <w:t xml:space="preserve">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</w:t>
      </w:r>
      <w:r>
        <w:rPr>
          <w:rStyle w:val="CharStyle24"/>
        </w:rPr>
        <w:t xml:space="preserve">или </w:t>
      </w:r>
      <w:r>
        <w:rPr>
          <w:rStyle w:val="CharStyle22"/>
        </w:rPr>
        <w:t>лаборатор</w:t>
        <w:softHyphen/>
        <w:t>ных данных).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Arial" w:eastAsia="Arial" w:hAnsi="Arial" w:cs="Arial"/>
        <w:w w:val="100"/>
        <w:spacing w:val="-2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  <w:spacing w:val="5"/>
    </w:rPr>
  </w:style>
  <w:style w:type="character" w:customStyle="1" w:styleId="CharStyle5">
    <w:name w:val="Заголовок №1"/>
    <w:basedOn w:val="CharStyle4"/>
    <w:rPr>
      <w:lang w:val="ru-RU"/>
      <w:u w:val="single"/>
      <w:w w:val="100"/>
      <w:color w:val="000000"/>
      <w:position w:val="0"/>
    </w:rPr>
  </w:style>
  <w:style w:type="character" w:customStyle="1" w:styleId="CharStyle7">
    <w:name w:val="Подпись к таблице_"/>
    <w:basedOn w:val="DefaultParagraphFont"/>
    <w:link w:val="Style6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1"/>
    </w:rPr>
  </w:style>
  <w:style w:type="character" w:customStyle="1" w:styleId="CharStyle8">
    <w:name w:val="Подпись к таблице"/>
    <w:basedOn w:val="CharStyle7"/>
    <w:rPr>
      <w:lang w:val="ru-RU"/>
      <w:w w:val="100"/>
      <w:color w:val="000000"/>
      <w:position w:val="0"/>
    </w:rPr>
  </w:style>
  <w:style w:type="character" w:customStyle="1" w:styleId="CharStyle10">
    <w:name w:val="Основной текст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  <w:spacing w:val="-2"/>
    </w:rPr>
  </w:style>
  <w:style w:type="character" w:customStyle="1" w:styleId="CharStyle11">
    <w:name w:val="Основной текст"/>
    <w:basedOn w:val="CharStyle10"/>
    <w:rPr>
      <w:lang w:val="ru-RU"/>
      <w:w w:val="100"/>
      <w:color w:val="000000"/>
      <w:position w:val="0"/>
    </w:rPr>
  </w:style>
  <w:style w:type="character" w:customStyle="1" w:styleId="CharStyle12">
    <w:name w:val="Основной текст"/>
    <w:basedOn w:val="CharStyle10"/>
    <w:rPr>
      <w:lang w:val="ru-RU"/>
      <w:w w:val="100"/>
      <w:color w:val="000000"/>
      <w:position w:val="0"/>
    </w:rPr>
  </w:style>
  <w:style w:type="character" w:customStyle="1" w:styleId="CharStyle13">
    <w:name w:val="Основной текст"/>
    <w:basedOn w:val="CharStyle10"/>
    <w:rPr>
      <w:lang w:val="ru-RU"/>
      <w:w w:val="100"/>
      <w:color w:val="000000"/>
      <w:position w:val="0"/>
    </w:rPr>
  </w:style>
  <w:style w:type="character" w:customStyle="1" w:styleId="CharStyle14">
    <w:name w:val="Основной текст + Курсив,Интервал 0 pt"/>
    <w:basedOn w:val="CharStyle10"/>
    <w:rPr>
      <w:lang w:val="ru-RU"/>
      <w:i/>
      <w:iCs/>
      <w:w w:val="100"/>
      <w:spacing w:val="-5"/>
      <w:color w:val="000000"/>
      <w:position w:val="0"/>
    </w:rPr>
  </w:style>
  <w:style w:type="character" w:customStyle="1" w:styleId="CharStyle15">
    <w:name w:val="Основной текст + 4 pt,Курсив,Интервал 0 pt"/>
    <w:basedOn w:val="CharStyle10"/>
    <w:rPr>
      <w:lang w:val="1024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16">
    <w:name w:val="Основной текст + 4 pt,Интервал 0 pt"/>
    <w:basedOn w:val="CharStyle10"/>
    <w:rPr>
      <w:lang w:val="1024"/>
      <w:sz w:val="8"/>
      <w:szCs w:val="8"/>
      <w:w w:val="100"/>
      <w:spacing w:val="0"/>
      <w:color w:val="000000"/>
      <w:position w:val="0"/>
    </w:rPr>
  </w:style>
  <w:style w:type="character" w:customStyle="1" w:styleId="CharStyle17">
    <w:name w:val="Основной текст + 4 pt,Интервал 0 pt"/>
    <w:basedOn w:val="CharStyle10"/>
    <w:rPr>
      <w:lang w:val="1024"/>
      <w:sz w:val="8"/>
      <w:szCs w:val="8"/>
      <w:w w:val="100"/>
      <w:spacing w:val="0"/>
      <w:color w:val="000000"/>
      <w:position w:val="0"/>
    </w:rPr>
  </w:style>
  <w:style w:type="character" w:customStyle="1" w:styleId="CharStyle18">
    <w:name w:val="Основной текст + Курсив,Интервал 0 pt"/>
    <w:basedOn w:val="CharStyle10"/>
    <w:rPr>
      <w:lang w:val="1024"/>
      <w:i/>
      <w:iCs/>
      <w:w w:val="100"/>
      <w:spacing w:val="0"/>
      <w:color w:val="000000"/>
      <w:position w:val="0"/>
    </w:rPr>
  </w:style>
  <w:style w:type="character" w:customStyle="1" w:styleId="CharStyle20">
    <w:name w:val="Основной текст (2)_"/>
    <w:basedOn w:val="DefaultParagraphFont"/>
    <w:link w:val="Style19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  <w:spacing w:val="-2"/>
    </w:rPr>
  </w:style>
  <w:style w:type="character" w:customStyle="1" w:styleId="CharStyle21">
    <w:name w:val="Основной текст (2)"/>
    <w:basedOn w:val="CharStyle20"/>
    <w:rPr>
      <w:lang w:val="ru-RU"/>
      <w:w w:val="100"/>
      <w:color w:val="000000"/>
      <w:position w:val="0"/>
    </w:rPr>
  </w:style>
  <w:style w:type="character" w:customStyle="1" w:styleId="CharStyle22">
    <w:name w:val="Основной текст"/>
    <w:basedOn w:val="CharStyle10"/>
    <w:rPr>
      <w:lang w:val="ru-RU"/>
      <w:w w:val="100"/>
      <w:color w:val="000000"/>
      <w:position w:val="0"/>
    </w:rPr>
  </w:style>
  <w:style w:type="character" w:customStyle="1" w:styleId="CharStyle23">
    <w:name w:val="Основной текст"/>
    <w:basedOn w:val="CharStyle10"/>
    <w:rPr>
      <w:lang w:val="ru-RU"/>
      <w:w w:val="100"/>
      <w:color w:val="000000"/>
      <w:position w:val="0"/>
    </w:rPr>
  </w:style>
  <w:style w:type="character" w:customStyle="1" w:styleId="CharStyle24">
    <w:name w:val="Основной текст"/>
    <w:basedOn w:val="CharStyle10"/>
    <w:rPr>
      <w:lang w:val="ru-RU"/>
      <w:w w:val="10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right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  <w:spacing w:val="5"/>
    </w:rPr>
  </w:style>
  <w:style w:type="paragraph" w:customStyle="1" w:styleId="Style6">
    <w:name w:val="Подпись к таблице"/>
    <w:basedOn w:val="Normal"/>
    <w:link w:val="CharStyle7"/>
    <w:pPr>
      <w:widowControl w:val="0"/>
      <w:shd w:val="clear" w:color="auto" w:fill="FFFFFF"/>
      <w:jc w:val="center"/>
      <w:spacing w:line="173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1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FFFFFF"/>
      <w:jc w:val="both"/>
      <w:spacing w:line="15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  <w:spacing w:val="-2"/>
    </w:rPr>
  </w:style>
  <w:style w:type="paragraph" w:customStyle="1" w:styleId="Style19">
    <w:name w:val="Основной текст (2)"/>
    <w:basedOn w:val="Normal"/>
    <w:link w:val="CharStyle20"/>
    <w:pPr>
      <w:widowControl w:val="0"/>
      <w:shd w:val="clear" w:color="auto" w:fill="FFFFFF"/>
      <w:jc w:val="both"/>
      <w:spacing w:before="60" w:line="158" w:lineRule="exact"/>
      <w:ind w:firstLine="300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  <w:spacing w:val="-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